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…. Bankası Genel Müdürlüğü’ne,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Bankanız nezdinde bulunan hesaplarımdan Hesap İşletim Ücreti olarak yapılmış kesintileri gösteren listenin, 5411 sayılı yasanın 76. maddesinin 1. Fıkrası uyarınca tarafıma verilmesini talep ediyorum.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Saygılarımla,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İsim Soyadı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TCKN: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Tel: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